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6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Joint Schedule 6; and</w:t>
            </w:r>
          </w:p>
        </w:tc>
      </w:tr>
      <w:tr>
        <w:trPr>
          <w:cantSplit w:val="0"/>
          <w:trHeight w:val="20"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s>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bl>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CCS in the format and frequency as reasonably specified by CCS; and</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Joint Schedule 6 shall provide a full and detailed description of the Sub-Contract opportunity with each of the mandatory fields being completed on Contracts Finder by the Supplier.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CCS may by giving its prior Approval, agree that a Sub-Contract opportunity is not required to be advertised by the Supplier on Contracts Finder.</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CCS which incorporates the data described in the Supply Chain Information Report Template which is: </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after="120" w:before="120" w:lineRule="auto"/>
        <w:ind w:left="1440" w:hanging="87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after="120" w:before="120" w:lineRule="auto"/>
        <w:ind w:left="1440" w:hanging="87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 any Supply Chain Manufacturer); and</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120" w:before="120" w:lineRule="auto"/>
        <w:ind w:left="1440" w:hanging="87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CCS issuing a replacement version. CCS agrees to give at least thirty (30) days’ notice in writing of any such change and shall specify the date from which it must be used.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CCS.</w:t>
      </w:r>
      <w:r w:rsidDel="00000000" w:rsidR="00000000" w:rsidRPr="00000000">
        <w:rPr>
          <w:rtl w:val="0"/>
        </w:rPr>
      </w:r>
    </w:p>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1">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Pr>
        <w:drawing>
          <wp:inline distB="0" distT="0" distL="114300" distR="114300">
            <wp:extent cx="1466850" cy="685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66850" cy="6858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RM62749</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1.0</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1.0</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78264391.778264391.7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78264391.778264391.7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78264391.778264391.7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w:t>
    </w:r>
    <w:r w:rsidDel="00000000" w:rsidR="00000000" w:rsidRPr="00000000">
      <w:rPr>
        <w:rFonts w:ascii="Arial" w:cs="Arial" w:eastAsia="Arial" w:hAnsi="Arial"/>
        <w:b w:val="1"/>
        <w:rtl w:val="0"/>
      </w:rPr>
      <w:t xml:space="preserve">6</w:t>
    </w:r>
    <w:r w:rsidDel="00000000" w:rsidR="00000000" w:rsidRPr="00000000">
      <w:rPr>
        <w:rFonts w:ascii="Arial" w:cs="Arial" w:eastAsia="Arial" w:hAnsi="Arial"/>
        <w:b w:val="1"/>
        <w:color w:val="000000"/>
        <w:rtl w:val="0"/>
      </w:rPr>
      <w:t xml:space="preserve"> (Supply Chain Visibility)</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2018</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